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DF" w:rsidRPr="00656112" w:rsidRDefault="00F25238">
      <w:pPr>
        <w:rPr>
          <w:rFonts w:ascii="Arial" w:hAnsi="Arial" w:cs="Arial"/>
          <w:sz w:val="24"/>
          <w:szCs w:val="24"/>
        </w:rPr>
      </w:pPr>
      <w:bookmarkStart w:id="0" w:name="_GoBack"/>
      <w:r w:rsidRPr="00656112">
        <w:rPr>
          <w:rFonts w:ascii="Arial" w:hAnsi="Arial" w:cs="Arial"/>
          <w:sz w:val="24"/>
          <w:szCs w:val="24"/>
        </w:rPr>
        <w:t>NOTA INTEGRATIVA AL BILANCIO 2018</w:t>
      </w:r>
    </w:p>
    <w:p w:rsidR="00F25238" w:rsidRPr="00656112" w:rsidRDefault="00F25238" w:rsidP="00F25238">
      <w:pPr>
        <w:jc w:val="both"/>
        <w:rPr>
          <w:rFonts w:ascii="Arial" w:hAnsi="Arial" w:cs="Arial"/>
          <w:sz w:val="24"/>
          <w:szCs w:val="24"/>
        </w:rPr>
      </w:pPr>
      <w:r w:rsidRPr="00656112">
        <w:rPr>
          <w:rFonts w:ascii="Arial" w:hAnsi="Arial" w:cs="Arial"/>
          <w:sz w:val="24"/>
          <w:szCs w:val="24"/>
        </w:rPr>
        <w:t xml:space="preserve">Il bilancio generale dell’associazione risulta con un avanzo cospicuo, per quello che è sempre stata la normalità dei nostri bilanci. </w:t>
      </w:r>
      <w:proofErr w:type="spellStart"/>
      <w:r w:rsidRPr="00656112">
        <w:rPr>
          <w:rFonts w:ascii="Arial" w:hAnsi="Arial" w:cs="Arial"/>
          <w:sz w:val="24"/>
          <w:szCs w:val="24"/>
        </w:rPr>
        <w:t>Cìè</w:t>
      </w:r>
      <w:proofErr w:type="spellEnd"/>
      <w:r w:rsidRPr="00656112">
        <w:rPr>
          <w:rFonts w:ascii="Arial" w:hAnsi="Arial" w:cs="Arial"/>
          <w:sz w:val="24"/>
          <w:szCs w:val="24"/>
        </w:rPr>
        <w:t xml:space="preserve"> da dire però che è un avanzo in parte fittizio in quanto l’avanzo di 2784.96 che trovate nel bilancio relativo alla convenzione per la gestione dei parchi di Faenza non è reale.</w:t>
      </w:r>
    </w:p>
    <w:p w:rsidR="00F25238" w:rsidRPr="00656112" w:rsidRDefault="00F25238" w:rsidP="00F25238">
      <w:pPr>
        <w:jc w:val="both"/>
        <w:rPr>
          <w:rFonts w:ascii="Arial" w:hAnsi="Arial" w:cs="Arial"/>
          <w:sz w:val="24"/>
          <w:szCs w:val="24"/>
        </w:rPr>
      </w:pPr>
      <w:r w:rsidRPr="00656112">
        <w:rPr>
          <w:rFonts w:ascii="Arial" w:hAnsi="Arial" w:cs="Arial"/>
          <w:sz w:val="24"/>
          <w:szCs w:val="24"/>
        </w:rPr>
        <w:t xml:space="preserve">Infatti i bilanci vengono tenuti “per cassa” e per questo motivo nel bilancio dei Parchi non figurano i debiti </w:t>
      </w:r>
      <w:r w:rsidR="00B958F7" w:rsidRPr="00656112">
        <w:rPr>
          <w:rFonts w:ascii="Arial" w:hAnsi="Arial" w:cs="Arial"/>
          <w:sz w:val="24"/>
          <w:szCs w:val="24"/>
        </w:rPr>
        <w:t xml:space="preserve">ancora da pagare (rimborsi ai volontari, fatture </w:t>
      </w:r>
      <w:proofErr w:type="spellStart"/>
      <w:r w:rsidR="00B958F7" w:rsidRPr="00656112">
        <w:rPr>
          <w:rFonts w:ascii="Arial" w:hAnsi="Arial" w:cs="Arial"/>
          <w:sz w:val="24"/>
          <w:szCs w:val="24"/>
        </w:rPr>
        <w:t>ecc</w:t>
      </w:r>
      <w:proofErr w:type="spellEnd"/>
      <w:r w:rsidR="00B958F7" w:rsidRPr="00656112">
        <w:rPr>
          <w:rFonts w:ascii="Arial" w:hAnsi="Arial" w:cs="Arial"/>
          <w:sz w:val="24"/>
          <w:szCs w:val="24"/>
        </w:rPr>
        <w:t>)</w:t>
      </w:r>
      <w:r w:rsidRPr="00656112">
        <w:rPr>
          <w:rFonts w:ascii="Arial" w:hAnsi="Arial" w:cs="Arial"/>
          <w:sz w:val="24"/>
          <w:szCs w:val="24"/>
        </w:rPr>
        <w:t xml:space="preserve">. In realtà il suddetto bilancio sarà sempre in pareggio in quanto le spese ci vengono, da convenzione, rimborsate dall’Unione dei comuni della </w:t>
      </w:r>
      <w:proofErr w:type="spellStart"/>
      <w:r w:rsidRPr="00656112">
        <w:rPr>
          <w:rFonts w:ascii="Arial" w:hAnsi="Arial" w:cs="Arial"/>
          <w:sz w:val="24"/>
          <w:szCs w:val="24"/>
        </w:rPr>
        <w:t>romagna</w:t>
      </w:r>
      <w:proofErr w:type="spellEnd"/>
      <w:r w:rsidRPr="00656112">
        <w:rPr>
          <w:rFonts w:ascii="Arial" w:hAnsi="Arial" w:cs="Arial"/>
          <w:sz w:val="24"/>
          <w:szCs w:val="24"/>
        </w:rPr>
        <w:t xml:space="preserve"> faentina.</w:t>
      </w:r>
    </w:p>
    <w:p w:rsidR="00B958F7" w:rsidRPr="00656112" w:rsidRDefault="00B958F7" w:rsidP="00F25238">
      <w:pPr>
        <w:jc w:val="both"/>
        <w:rPr>
          <w:rFonts w:ascii="Arial" w:hAnsi="Arial" w:cs="Arial"/>
          <w:sz w:val="24"/>
          <w:szCs w:val="24"/>
        </w:rPr>
      </w:pPr>
      <w:r w:rsidRPr="00656112">
        <w:rPr>
          <w:rFonts w:ascii="Arial" w:hAnsi="Arial" w:cs="Arial"/>
          <w:sz w:val="24"/>
          <w:szCs w:val="24"/>
        </w:rPr>
        <w:t xml:space="preserve">Di conseguenza il reale avanzo è quello dato dalla differenza tra l’avanzo del progetto </w:t>
      </w:r>
      <w:proofErr w:type="spellStart"/>
      <w:r w:rsidRPr="00656112">
        <w:rPr>
          <w:rFonts w:ascii="Arial" w:hAnsi="Arial" w:cs="Arial"/>
          <w:sz w:val="24"/>
          <w:szCs w:val="24"/>
        </w:rPr>
        <w:t>Educambiente</w:t>
      </w:r>
      <w:proofErr w:type="spellEnd"/>
      <w:r w:rsidRPr="00656112">
        <w:rPr>
          <w:rFonts w:ascii="Arial" w:hAnsi="Arial" w:cs="Arial"/>
          <w:sz w:val="24"/>
          <w:szCs w:val="24"/>
        </w:rPr>
        <w:t xml:space="preserve"> ed il disavanzo del progetto </w:t>
      </w:r>
      <w:proofErr w:type="spellStart"/>
      <w:r w:rsidRPr="00656112">
        <w:rPr>
          <w:rFonts w:ascii="Arial" w:hAnsi="Arial" w:cs="Arial"/>
          <w:sz w:val="24"/>
          <w:szCs w:val="24"/>
        </w:rPr>
        <w:t>Mangiosano</w:t>
      </w:r>
      <w:proofErr w:type="spellEnd"/>
      <w:r w:rsidRPr="00656112">
        <w:rPr>
          <w:rFonts w:ascii="Arial" w:hAnsi="Arial" w:cs="Arial"/>
          <w:sz w:val="24"/>
          <w:szCs w:val="24"/>
        </w:rPr>
        <w:t>. Tale disavanzo di circa 1300 euro è stato in parte impiegato per coprire le spese fisse del periodo invernale ed in parte rinviato al nuovo esercizio ,per essere investito nell’allacciamento elettrico da ultimare.</w:t>
      </w:r>
    </w:p>
    <w:p w:rsidR="00B958F7" w:rsidRPr="00656112" w:rsidRDefault="00B958F7" w:rsidP="00F25238">
      <w:pPr>
        <w:jc w:val="both"/>
        <w:rPr>
          <w:rFonts w:ascii="Arial" w:hAnsi="Arial" w:cs="Arial"/>
          <w:sz w:val="24"/>
          <w:szCs w:val="24"/>
        </w:rPr>
      </w:pPr>
      <w:r w:rsidRPr="00656112">
        <w:rPr>
          <w:rFonts w:ascii="Arial" w:hAnsi="Arial" w:cs="Arial"/>
          <w:sz w:val="24"/>
          <w:szCs w:val="24"/>
        </w:rPr>
        <w:t xml:space="preserve">Per quanto concerne i progetti legati alla Piccola Oasi si nota che il progetto </w:t>
      </w:r>
      <w:proofErr w:type="spellStart"/>
      <w:r w:rsidRPr="00656112">
        <w:rPr>
          <w:rFonts w:ascii="Arial" w:hAnsi="Arial" w:cs="Arial"/>
          <w:sz w:val="24"/>
          <w:szCs w:val="24"/>
        </w:rPr>
        <w:t>Mangiosano</w:t>
      </w:r>
      <w:proofErr w:type="spellEnd"/>
      <w:r w:rsidRPr="00656112">
        <w:rPr>
          <w:rFonts w:ascii="Arial" w:hAnsi="Arial" w:cs="Arial"/>
          <w:sz w:val="24"/>
          <w:szCs w:val="24"/>
        </w:rPr>
        <w:t xml:space="preserve"> è servito più che altro per invogliare maggiormente i soci a partecipare alle attività proposte dal progetto </w:t>
      </w:r>
      <w:proofErr w:type="spellStart"/>
      <w:r w:rsidRPr="00656112">
        <w:rPr>
          <w:rFonts w:ascii="Arial" w:hAnsi="Arial" w:cs="Arial"/>
          <w:sz w:val="24"/>
          <w:szCs w:val="24"/>
        </w:rPr>
        <w:t>Educambiente</w:t>
      </w:r>
      <w:proofErr w:type="spellEnd"/>
      <w:r w:rsidRPr="00656112">
        <w:rPr>
          <w:rFonts w:ascii="Arial" w:hAnsi="Arial" w:cs="Arial"/>
          <w:sz w:val="24"/>
          <w:szCs w:val="24"/>
        </w:rPr>
        <w:t xml:space="preserve">, ma soprattutto per trasmettere l’importanza della sana alimentazione. </w:t>
      </w:r>
    </w:p>
    <w:p w:rsidR="00B958F7" w:rsidRPr="00656112" w:rsidRDefault="00B958F7" w:rsidP="00F25238">
      <w:pPr>
        <w:jc w:val="both"/>
        <w:rPr>
          <w:rFonts w:ascii="Arial" w:hAnsi="Arial" w:cs="Arial"/>
          <w:sz w:val="24"/>
          <w:szCs w:val="24"/>
        </w:rPr>
      </w:pPr>
      <w:r w:rsidRPr="00656112">
        <w:rPr>
          <w:rFonts w:ascii="Arial" w:hAnsi="Arial" w:cs="Arial"/>
          <w:sz w:val="24"/>
          <w:szCs w:val="24"/>
        </w:rPr>
        <w:t xml:space="preserve">Nel bilancio legato al progetto </w:t>
      </w:r>
      <w:proofErr w:type="spellStart"/>
      <w:r w:rsidRPr="00656112">
        <w:rPr>
          <w:rFonts w:ascii="Arial" w:hAnsi="Arial" w:cs="Arial"/>
          <w:sz w:val="24"/>
          <w:szCs w:val="24"/>
        </w:rPr>
        <w:t>Educambiente</w:t>
      </w:r>
      <w:proofErr w:type="spellEnd"/>
      <w:r w:rsidRPr="00656112">
        <w:rPr>
          <w:rFonts w:ascii="Arial" w:hAnsi="Arial" w:cs="Arial"/>
          <w:sz w:val="24"/>
          <w:szCs w:val="24"/>
        </w:rPr>
        <w:t xml:space="preserve"> spicca l’importanza del contributo elargito dall’amministrazione di Lugo, dei contributi delle aziende e dell’affitto dell’area da parte dei soci.</w:t>
      </w:r>
    </w:p>
    <w:p w:rsidR="00656112" w:rsidRPr="00656112" w:rsidRDefault="00656112" w:rsidP="00F25238">
      <w:pPr>
        <w:jc w:val="both"/>
        <w:rPr>
          <w:rFonts w:ascii="Arial" w:hAnsi="Arial" w:cs="Arial"/>
          <w:sz w:val="24"/>
          <w:szCs w:val="24"/>
        </w:rPr>
      </w:pPr>
      <w:r w:rsidRPr="00656112">
        <w:rPr>
          <w:rFonts w:ascii="Arial" w:hAnsi="Arial" w:cs="Arial"/>
          <w:sz w:val="24"/>
          <w:szCs w:val="24"/>
        </w:rPr>
        <w:t>Da notare come vi siano stati pochi nuovi soci e quindi come le attività siano seguite praticamente quasi sempre dalle stesse persone. Questo ci deve far riflettere sull’importanza di una maggiore divulgazione dei nostri eventi se vogliamo perseguire i nostri scopi statutari al meglio.</w:t>
      </w:r>
    </w:p>
    <w:p w:rsidR="00656112" w:rsidRPr="00656112" w:rsidRDefault="00656112" w:rsidP="00F25238">
      <w:pPr>
        <w:jc w:val="both"/>
        <w:rPr>
          <w:rFonts w:ascii="Arial" w:hAnsi="Arial" w:cs="Arial"/>
          <w:sz w:val="24"/>
          <w:szCs w:val="24"/>
        </w:rPr>
      </w:pPr>
      <w:r w:rsidRPr="00656112">
        <w:rPr>
          <w:rFonts w:ascii="Arial" w:hAnsi="Arial" w:cs="Arial"/>
          <w:sz w:val="24"/>
          <w:szCs w:val="24"/>
        </w:rPr>
        <w:t xml:space="preserve">Nel bilancio relativo alla convenzione per la gestione dei parchi faentini compare la voce incasso e donazioni. Si tratta di contributi elargiti dai soci durante le iniziative svolte presso i due parchi o di donazioni ricevute da cittadini. Queste somme potrebbero rappresentare un piccolo avanzo di gestione da destinare ad attività sociali ma in realtà sono servite e serviranno per coprire alcune spese che purtroppo non sono state rimborsate dall’ Unione dei comuni della </w:t>
      </w:r>
      <w:proofErr w:type="spellStart"/>
      <w:r w:rsidRPr="00656112">
        <w:rPr>
          <w:rFonts w:ascii="Arial" w:hAnsi="Arial" w:cs="Arial"/>
          <w:sz w:val="24"/>
          <w:szCs w:val="24"/>
        </w:rPr>
        <w:t>romagna</w:t>
      </w:r>
      <w:proofErr w:type="spellEnd"/>
      <w:r w:rsidRPr="00656112">
        <w:rPr>
          <w:rFonts w:ascii="Arial" w:hAnsi="Arial" w:cs="Arial"/>
          <w:sz w:val="24"/>
          <w:szCs w:val="24"/>
        </w:rPr>
        <w:t xml:space="preserve"> faentina perché prive di documento fiscale andato perduto.</w:t>
      </w:r>
    </w:p>
    <w:p w:rsidR="00656112" w:rsidRPr="00656112" w:rsidRDefault="00656112" w:rsidP="00F25238">
      <w:pPr>
        <w:jc w:val="both"/>
        <w:rPr>
          <w:rFonts w:ascii="Arial" w:hAnsi="Arial" w:cs="Arial"/>
          <w:sz w:val="24"/>
          <w:szCs w:val="24"/>
        </w:rPr>
      </w:pPr>
      <w:r w:rsidRPr="00656112">
        <w:rPr>
          <w:rFonts w:ascii="Arial" w:hAnsi="Arial" w:cs="Arial"/>
          <w:sz w:val="24"/>
          <w:szCs w:val="24"/>
        </w:rPr>
        <w:t xml:space="preserve">DESTINAZIONE 5 PER MILLE: come si nota dai bilanci, il piccolo importo raccolto è stato destinato alla copertura delle ingenti spese di gestione dei progetti </w:t>
      </w:r>
      <w:proofErr w:type="spellStart"/>
      <w:r w:rsidRPr="00656112">
        <w:rPr>
          <w:rFonts w:ascii="Arial" w:hAnsi="Arial" w:cs="Arial"/>
          <w:sz w:val="24"/>
          <w:szCs w:val="24"/>
        </w:rPr>
        <w:t>Educambiente</w:t>
      </w:r>
      <w:proofErr w:type="spellEnd"/>
      <w:r w:rsidRPr="0065611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56112">
        <w:rPr>
          <w:rFonts w:ascii="Arial" w:hAnsi="Arial" w:cs="Arial"/>
          <w:sz w:val="24"/>
          <w:szCs w:val="24"/>
        </w:rPr>
        <w:t>Mangiosano</w:t>
      </w:r>
      <w:proofErr w:type="spellEnd"/>
      <w:r w:rsidRPr="00656112">
        <w:rPr>
          <w:rFonts w:ascii="Arial" w:hAnsi="Arial" w:cs="Arial"/>
          <w:sz w:val="24"/>
          <w:szCs w:val="24"/>
        </w:rPr>
        <w:t>.</w:t>
      </w:r>
    </w:p>
    <w:p w:rsidR="00656112" w:rsidRPr="00656112" w:rsidRDefault="00656112" w:rsidP="00F25238">
      <w:pPr>
        <w:jc w:val="both"/>
        <w:rPr>
          <w:rFonts w:ascii="Arial" w:hAnsi="Arial" w:cs="Arial"/>
          <w:sz w:val="24"/>
          <w:szCs w:val="24"/>
        </w:rPr>
      </w:pPr>
    </w:p>
    <w:p w:rsidR="00B958F7" w:rsidRPr="00656112" w:rsidRDefault="00B958F7" w:rsidP="00F25238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F25238" w:rsidRPr="00656112" w:rsidRDefault="00F25238" w:rsidP="00F25238">
      <w:pPr>
        <w:jc w:val="both"/>
        <w:rPr>
          <w:rFonts w:ascii="Arial" w:hAnsi="Arial" w:cs="Arial"/>
          <w:sz w:val="24"/>
          <w:szCs w:val="24"/>
        </w:rPr>
      </w:pPr>
    </w:p>
    <w:sectPr w:rsidR="00F25238" w:rsidRPr="00656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38"/>
    <w:rsid w:val="004322DF"/>
    <w:rsid w:val="00656112"/>
    <w:rsid w:val="00B958F7"/>
    <w:rsid w:val="00F2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91B1-649B-4E9E-ADA8-567CCC4B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</dc:creator>
  <cp:lastModifiedBy>EDP</cp:lastModifiedBy>
  <cp:revision>1</cp:revision>
  <dcterms:created xsi:type="dcterms:W3CDTF">2019-04-24T14:54:00Z</dcterms:created>
  <dcterms:modified xsi:type="dcterms:W3CDTF">2019-04-24T15:24:00Z</dcterms:modified>
</cp:coreProperties>
</file>